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ff0000"/>
        </w:rPr>
      </w:pPr>
      <w:bookmarkStart w:colFirst="0" w:colLast="0" w:name="_heading=h.a0w3t1bgxl43" w:id="0"/>
      <w:bookmarkEnd w:id="0"/>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ff0000"/>
        </w:rPr>
      </w:pPr>
      <w:bookmarkStart w:colFirst="0" w:colLast="0" w:name="_heading=h.gjdgxs" w:id="1"/>
      <w:bookmarkEnd w:id="1"/>
      <w:r w:rsidDel="00000000" w:rsidR="00000000" w:rsidRPr="00000000">
        <w:rPr>
          <w:rFonts w:ascii="Calibri" w:cs="Calibri" w:eastAsia="Calibri" w:hAnsi="Calibri"/>
          <w:b w:val="1"/>
          <w:color w:val="ff0000"/>
          <w:rtl w:val="0"/>
        </w:rPr>
        <w:t xml:space="preserve">Poskytovatel informuje, že ke dni 24.2.2023 byl do článku 4 Specifické podmínky Rozhodnutí o poskytnutí podpory přidán nový odstavec doplňující článek 17 Všeobecných podmínek.</w:t>
      </w:r>
    </w:p>
    <w:p w:rsidR="00000000" w:rsidDel="00000000" w:rsidP="00000000" w:rsidRDefault="00000000" w:rsidRPr="00000000" w14:paraId="00000004">
      <w:pPr>
        <w:rPr>
          <w:rFonts w:ascii="Calibri" w:cs="Calibri" w:eastAsia="Calibri" w:hAnsi="Calibri"/>
          <w:b w:val="1"/>
          <w:color w:val="ff0000"/>
        </w:rPr>
      </w:pPr>
      <w:bookmarkStart w:colFirst="0" w:colLast="0" w:name="_heading=h.deuiwb3hta61" w:id="2"/>
      <w:bookmarkEnd w:id="2"/>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A">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 na straně jedné,</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10">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se sídlem XXXXXXXX</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zastoupená: XXXXXXXX </w:t>
      </w:r>
      <w:r w:rsidDel="00000000" w:rsidR="00000000" w:rsidRPr="00000000">
        <w:rPr>
          <w:rtl w:val="0"/>
        </w:rPr>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6">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r w:rsidDel="00000000" w:rsidR="00000000" w:rsidRPr="00000000">
        <w:rPr>
          <w:rtl w:val="0"/>
        </w:rPr>
      </w:r>
    </w:p>
    <w:p w:rsidR="00000000" w:rsidDel="00000000" w:rsidP="00000000" w:rsidRDefault="00000000" w:rsidRPr="00000000" w14:paraId="00000017">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číslo účtu: XXXXXXXX</w:t>
      </w:r>
      <w:r w:rsidDel="00000000" w:rsidR="00000000" w:rsidRPr="00000000">
        <w:rPr>
          <w:rtl w:val="0"/>
        </w:rPr>
      </w:r>
    </w:p>
    <w:p w:rsidR="00000000" w:rsidDel="00000000" w:rsidP="00000000" w:rsidRDefault="00000000" w:rsidRPr="00000000" w14:paraId="00000018">
      <w:pPr>
        <w:spacing w:before="0" w:lineRule="auto"/>
        <w:rPr>
          <w:rFonts w:ascii="Calibri" w:cs="Calibri" w:eastAsia="Calibri" w:hAnsi="Calibri"/>
        </w:rPr>
      </w:pPr>
      <w:r w:rsidDel="00000000" w:rsidR="00000000" w:rsidRPr="00000000">
        <w:rPr>
          <w:rFonts w:ascii="Calibri" w:cs="Calibri" w:eastAsia="Calibri" w:hAnsi="Calibri"/>
          <w:rtl w:val="0"/>
        </w:rPr>
        <w:t xml:space="preserve">jako další účastník účelové podpory (dále jen „příjemce/další účastník“) na straně druhé</w:t>
      </w:r>
    </w:p>
    <w:p w:rsidR="00000000" w:rsidDel="00000000" w:rsidP="00000000" w:rsidRDefault="00000000" w:rsidRPr="00000000" w14:paraId="00000019">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2476800" cy="738072"/>
            <wp:effectExtent b="0" l="0" r="0" t="0"/>
            <wp:docPr id="5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76800" cy="738072"/>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F">
      <w:pPr>
        <w:spacing w:after="60" w:lineRule="auto"/>
        <w:rPr>
          <w:rFonts w:ascii="Calibri" w:cs="Calibri" w:eastAsia="Calibri" w:hAnsi="Calibri"/>
        </w:rPr>
      </w:pPr>
      <w:r w:rsidDel="00000000" w:rsidR="00000000" w:rsidRPr="00000000">
        <w:rPr>
          <w:rFonts w:ascii="Calibri" w:cs="Calibri" w:eastAsia="Calibri" w:hAnsi="Calibri"/>
          <w:rtl w:val="0"/>
        </w:rPr>
        <w:t xml:space="preserve">Návrh projektu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rtl w:val="0"/>
        </w:rPr>
        <w:t xml:space="preserve"> s názvem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byl přijat do mezinárodní výzvy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XXX.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60" w:lineRule="auto"/>
        <w:rPr>
          <w:rFonts w:ascii="Calibri" w:cs="Calibri" w:eastAsia="Calibri" w:hAnsi="Calibri"/>
        </w:rPr>
      </w:pPr>
      <w:r w:rsidDel="00000000" w:rsidR="00000000" w:rsidRPr="00000000">
        <w:rPr>
          <w:rFonts w:ascii="Calibri" w:cs="Calibri" w:eastAsia="Calibri" w:hAnsi="Calibri"/>
          <w:rtl w:val="0"/>
        </w:rPr>
        <w:t xml:space="preserve">V souladu s § 9 ZPVV se proto vydává toto Rozhodnutí. Veškeré pojmy použité v Rozhodnutí jsou definovány ve Všeobecných podmínkách.</w:t>
      </w:r>
    </w:p>
    <w:p w:rsidR="00000000" w:rsidDel="00000000" w:rsidP="00000000" w:rsidRDefault="00000000" w:rsidRPr="00000000" w14:paraId="00000021">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2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24">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p>
    <w:p w:rsidR="00000000" w:rsidDel="00000000" w:rsidP="00000000" w:rsidRDefault="00000000" w:rsidRPr="00000000" w14:paraId="00000025">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 </w:t>
      </w:r>
    </w:p>
    <w:p w:rsidR="00000000" w:rsidDel="00000000" w:rsidP="00000000" w:rsidRDefault="00000000" w:rsidRPr="00000000" w14:paraId="00000026">
      <w:pPr>
        <w:numPr>
          <w:ilvl w:val="0"/>
          <w:numId w:val="5"/>
        </w:numPr>
        <w:ind w:left="360" w:hanging="360"/>
        <w:rPr>
          <w:rFonts w:ascii="Calibri" w:cs="Calibri" w:eastAsia="Calibri" w:hAnsi="Calibri"/>
        </w:rPr>
      </w:pPr>
      <w:r w:rsidDel="00000000" w:rsidR="00000000" w:rsidRPr="00000000">
        <w:rPr>
          <w:rFonts w:ascii="Calibri" w:cs="Calibri" w:eastAsia="Calibri" w:hAnsi="Calibri"/>
          <w:rtl w:val="0"/>
        </w:rPr>
        <w:t xml:space="preserve">Podpora bude poskytnuta formou zvýšení výdajů organizační složky státu, která je příjemcem, ve smyslu § 4 odst. 1 ZPVV.</w:t>
      </w:r>
    </w:p>
    <w:p w:rsidR="00000000" w:rsidDel="00000000" w:rsidP="00000000" w:rsidRDefault="00000000" w:rsidRPr="00000000" w14:paraId="00000027">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9">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p>
    <w:p w:rsidR="00000000" w:rsidDel="00000000" w:rsidP="00000000" w:rsidRDefault="00000000" w:rsidRPr="00000000" w14:paraId="0000002A">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Maximální výše uznaných nákladů projektu je stanovena ve výši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p>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D">
      <w:pPr>
        <w:numPr>
          <w:ilvl w:val="0"/>
          <w:numId w:val="2"/>
        </w:numPr>
        <w:tabs>
          <w:tab w:val="left" w:leader="none" w:pos="567"/>
          <w:tab w:val="left" w:leader="none" w:pos="709"/>
        </w:tabs>
        <w:ind w:left="360" w:hanging="360"/>
        <w:rPr>
          <w:rFonts w:ascii="Calibri" w:cs="Calibri" w:eastAsia="Calibri" w:hAnsi="Calibri"/>
        </w:rPr>
      </w:pPr>
      <w:r w:rsidDel="00000000" w:rsidR="00000000" w:rsidRPr="00000000">
        <w:rPr>
          <w:rFonts w:ascii="Calibri" w:cs="Calibri" w:eastAsia="Calibri" w:hAnsi="Calibri"/>
          <w:rtl w:val="0"/>
        </w:rPr>
        <w:t xml:space="preserve">Nedílnou součástí Smlouvy je příloha </w:t>
      </w:r>
      <w:r w:rsidDel="00000000" w:rsidR="00000000" w:rsidRPr="00000000">
        <w:rPr>
          <w:rFonts w:ascii="Calibri" w:cs="Calibri" w:eastAsia="Calibri" w:hAnsi="Calibri"/>
          <w:b w:val="1"/>
          <w:rtl w:val="0"/>
        </w:rPr>
        <w:t xml:space="preserve">závazné parametry řešení projektu</w:t>
      </w:r>
      <w:r w:rsidDel="00000000" w:rsidR="00000000" w:rsidRPr="00000000">
        <w:rPr>
          <w:rFonts w:ascii="Calibri" w:cs="Calibri" w:eastAsia="Calibri" w:hAnsi="Calibri"/>
          <w:rtl w:val="0"/>
        </w:rPr>
        <w:t xml:space="preserve">, které jsou schváleným návrhem projektu ve smyslu § 9 odst. 2 ZPVV, a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w:t>
      </w:r>
    </w:p>
    <w:p w:rsidR="00000000" w:rsidDel="00000000" w:rsidP="00000000" w:rsidRDefault="00000000" w:rsidRPr="00000000" w14:paraId="0000002E">
      <w:pPr>
        <w:numPr>
          <w:ilvl w:val="0"/>
          <w:numId w:val="2"/>
        </w:numPr>
        <w:tabs>
          <w:tab w:val="left" w:leader="none" w:pos="567"/>
          <w:tab w:val="left" w:leader="none" w:pos="709"/>
        </w:tabs>
        <w:ind w:left="357" w:hanging="357"/>
        <w:rPr>
          <w:rFonts w:ascii="Calibri" w:cs="Calibri" w:eastAsia="Calibri" w:hAnsi="Calibri"/>
        </w:rPr>
      </w:pPr>
      <w:r w:rsidDel="00000000" w:rsidR="00000000" w:rsidRPr="00000000">
        <w:rPr>
          <w:rFonts w:ascii="Calibri" w:cs="Calibri" w:eastAsia="Calibri" w:hAnsi="Calibri"/>
          <w:rtl w:val="0"/>
        </w:rPr>
        <w:t xml:space="preserve">Další podmínky poskytnutí podpory a řešení projektu jsou uvedeny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p>
    <w:p w:rsidR="00000000" w:rsidDel="00000000" w:rsidP="00000000" w:rsidRDefault="00000000" w:rsidRPr="00000000" w14:paraId="0000002F">
      <w:pPr>
        <w:numPr>
          <w:ilvl w:val="0"/>
          <w:numId w:val="2"/>
        </w:numPr>
        <w:tabs>
          <w:tab w:val="left" w:leader="none" w:pos="567"/>
          <w:tab w:val="left" w:leader="none" w:pos="709"/>
        </w:tabs>
        <w:ind w:left="357" w:hanging="357"/>
        <w:rPr>
          <w:rFonts w:ascii="Calibri" w:cs="Calibri" w:eastAsia="Calibri" w:hAnsi="Calibri"/>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použijí se přednostně ustanovení Rozhodnutí, dále ustanovení Všeobecných podmínek a dále Závazných parametrů řešení projektu.</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gjdgxs" w:id="3"/>
    <w:bookmarkEnd w:id="3"/>
    <w:p w:rsidR="00000000" w:rsidDel="00000000" w:rsidP="00000000" w:rsidRDefault="00000000" w:rsidRPr="00000000" w14:paraId="0000003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33">
      <w:pPr>
        <w:numPr>
          <w:ilvl w:val="0"/>
          <w:numId w:val="1"/>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k řešení navrhovaného projektu, a to nad rámec Všeobecných podmínek.</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425" w:right="-182" w:hanging="425"/>
        <w:rPr>
          <w:rFonts w:ascii="Calibri" w:cs="Calibri" w:eastAsia="Calibri" w:hAnsi="Calibri"/>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425" w:right="-182" w:hanging="425"/>
        <w:rPr>
          <w:rFonts w:ascii="Calibri" w:cs="Calibri" w:eastAsia="Calibri" w:hAnsi="Calibri"/>
        </w:rPr>
      </w:pPr>
      <w:r w:rsidDel="00000000" w:rsidR="00000000" w:rsidRPr="00000000">
        <w:rPr>
          <w:rFonts w:ascii="Calibri" w:cs="Calibri" w:eastAsia="Calibri" w:hAnsi="Calibri"/>
          <w:rtl w:val="0"/>
        </w:rPr>
        <w:t xml:space="preserve">Nad rámec Všeobecných podmínek se stanovuje hlavnímu příjemci povinnost dle zákona č. 563/1991 Sb., o účetnictví zveřejňovat účetní závěrku v příslušném rejstříku ve smyslu zákona č. 304/2013 Sb., o veřejných rejstřících právnických a fyzických osob, a to po celou dobu řešení projektu.</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12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w:t>
      </w:r>
    </w:p>
    <w:p w:rsidR="00000000" w:rsidDel="00000000" w:rsidP="00000000" w:rsidRDefault="00000000" w:rsidRPr="00000000" w14:paraId="00000037">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8">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 / 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9">
      <w:pPr>
        <w:numPr>
          <w:ilvl w:val="0"/>
          <w:numId w:val="1"/>
        </w:numPr>
        <w:ind w:left="425" w:hanging="425"/>
        <w:rPr/>
      </w:pPr>
      <w:r w:rsidDel="00000000" w:rsidR="00000000" w:rsidRPr="00000000">
        <w:rPr>
          <w:rFonts w:ascii="Calibri" w:cs="Calibri" w:eastAsia="Calibri" w:hAnsi="Calibri"/>
          <w:rtl w:val="0"/>
        </w:rPr>
        <w:t xml:space="preserve">Nad rámec Všeobecných podmínek se stanovuje hlavnímu příjemci povinnost mít uzavřenou příslušnou konsorciální smlouvu (Consortium Agreement) se zahraničním partnerem, přičemž je možné, aby zahraniční partner byl jednou ze smluvních stran Smlouvy o účasti na řešení projektu, aniž by byl v roli dalšího účastníka. Čl. 6 Všeobecných podmínek „Smlouva o účasti na řešení projektu” a související ustanovení se použijí i pro konsorciální smlouvu se zahraničním partnerem s výjimkou čl. 6 odst. 2 písm. c) a d). Konsorciální smlouva musí být v anglickém jazyce. </w:t>
      </w:r>
      <w:r w:rsidDel="00000000" w:rsidR="00000000" w:rsidRPr="00000000">
        <w:rPr>
          <w:rtl w:val="0"/>
        </w:rPr>
      </w:r>
    </w:p>
    <w:p w:rsidR="00000000" w:rsidDel="00000000" w:rsidP="00000000" w:rsidRDefault="00000000" w:rsidRPr="00000000" w14:paraId="0000003A">
      <w:pPr>
        <w:numPr>
          <w:ilvl w:val="0"/>
          <w:numId w:val="1"/>
        </w:numPr>
        <w:ind w:left="425" w:hanging="425"/>
        <w:rPr>
          <w:rFonts w:ascii="Calibri" w:cs="Calibri" w:eastAsia="Calibri" w:hAnsi="Calibri"/>
        </w:rPr>
      </w:pPr>
      <w:bookmarkStart w:colFirst="0" w:colLast="0" w:name="_heading=h.gjdgxs" w:id="1"/>
      <w:bookmarkEnd w:id="1"/>
      <w:r w:rsidDel="00000000" w:rsidR="00000000" w:rsidRPr="00000000">
        <w:rPr>
          <w:rFonts w:ascii="Calibri" w:cs="Calibri" w:eastAsia="Calibri" w:hAnsi="Calibri"/>
          <w:rtl w:val="0"/>
        </w:rPr>
        <w:t xml:space="preserve">Čl. 11 Všeobecných podmínek se doplňuje o nový odst. 5, který zní:</w:t>
      </w:r>
    </w:p>
    <w:p w:rsidR="00000000" w:rsidDel="00000000" w:rsidP="00000000" w:rsidRDefault="00000000" w:rsidRPr="00000000" w14:paraId="0000003B">
      <w:pPr>
        <w:ind w:left="850.3937007874017" w:firstLine="0"/>
        <w:rPr>
          <w:rFonts w:ascii="Calibri" w:cs="Calibri" w:eastAsia="Calibri" w:hAnsi="Calibri"/>
        </w:rPr>
      </w:pPr>
      <w:bookmarkStart w:colFirst="0" w:colLast="0" w:name="_heading=h.c3pc2xfm74uy" w:id="4"/>
      <w:bookmarkEnd w:id="4"/>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425" w:hanging="425"/>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D">
      <w:pPr>
        <w:numPr>
          <w:ilvl w:val="0"/>
          <w:numId w:val="1"/>
        </w:numPr>
        <w:ind w:left="425" w:hanging="425"/>
        <w:rPr/>
      </w:pPr>
      <w:r w:rsidDel="00000000" w:rsidR="00000000" w:rsidRPr="00000000">
        <w:rPr>
          <w:rFonts w:ascii="Calibri" w:cs="Calibri" w:eastAsia="Calibri" w:hAnsi="Calibri"/>
          <w:rtl w:val="0"/>
        </w:rPr>
        <w:t xml:space="preserve">Čl. 14 Všeobecných podmínek se doplňuje o nový odst. 5, který zní:</w:t>
      </w:r>
      <w:r w:rsidDel="00000000" w:rsidR="00000000" w:rsidRPr="00000000">
        <w:rPr>
          <w:rtl w:val="0"/>
        </w:rPr>
      </w:r>
    </w:p>
    <w:p w:rsidR="00000000" w:rsidDel="00000000" w:rsidP="00000000" w:rsidRDefault="00000000" w:rsidRPr="00000000" w14:paraId="0000003E">
      <w:pPr>
        <w:ind w:left="0" w:right="566" w:firstLine="850.3937007874017"/>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120" w:before="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Čl. 17 Všeobecných podmínek se doplňuje o nový odst. 11, který zní:</w:t>
      </w:r>
    </w:p>
    <w:p w:rsidR="00000000" w:rsidDel="00000000" w:rsidP="00000000" w:rsidRDefault="00000000" w:rsidRPr="00000000" w14:paraId="00000040">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41">
      <w:pPr>
        <w:numPr>
          <w:ilvl w:val="0"/>
          <w:numId w:val="1"/>
        </w:numPr>
        <w:ind w:left="425"/>
      </w:pPr>
      <w:r w:rsidDel="00000000" w:rsidR="00000000" w:rsidRPr="00000000">
        <w:rPr>
          <w:rFonts w:ascii="Calibri" w:cs="Calibri" w:eastAsia="Calibri" w:hAnsi="Calibri"/>
          <w:b w:val="1"/>
          <w:color w:val="ff0000"/>
          <w:rtl w:val="0"/>
        </w:rPr>
        <w:t xml:space="preserve">Čl. 17 Všeobecných podmínek se doplňuje o nový odst. 12, který zní:</w:t>
      </w:r>
      <w:r w:rsidDel="00000000" w:rsidR="00000000" w:rsidRPr="00000000">
        <w:rPr>
          <w:rtl w:val="0"/>
        </w:rPr>
      </w:r>
    </w:p>
    <w:p w:rsidR="00000000" w:rsidDel="00000000" w:rsidP="00000000" w:rsidRDefault="00000000" w:rsidRPr="00000000" w14:paraId="00000042">
      <w:pPr>
        <w:spacing w:line="360" w:lineRule="auto"/>
        <w:ind w:left="850" w:right="566" w:firstLine="0"/>
        <w:rPr>
          <w:rFonts w:ascii="Calibri" w:cs="Calibri" w:eastAsia="Calibri" w:hAnsi="Calibri"/>
        </w:rPr>
      </w:pPr>
      <w:r w:rsidDel="00000000" w:rsidR="00000000" w:rsidRPr="00000000">
        <w:rPr>
          <w:rFonts w:ascii="Calibri" w:cs="Calibri" w:eastAsia="Calibri" w:hAnsi="Calibri"/>
          <w:b w:val="1"/>
          <w:color w:val="ff0000"/>
          <w:rtl w:val="0"/>
        </w:rPr>
        <w:t xml:space="preserve">„Náklady se zdanitelným plněním po 30. 6. 2026 nebudou považovány za uznané.“</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120" w:before="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p>
    <w:p w:rsidR="00000000" w:rsidDel="00000000" w:rsidP="00000000" w:rsidRDefault="00000000" w:rsidRPr="00000000" w14:paraId="00000044">
      <w:pPr>
        <w:numPr>
          <w:ilvl w:val="0"/>
          <w:numId w:val="6"/>
        </w:numPr>
        <w:spacing w:after="0" w:before="0" w:lineRule="auto"/>
        <w:ind w:left="850.3937007874017" w:right="-182" w:hanging="283.4645669291342"/>
        <w:rPr>
          <w:rFonts w:ascii="Calibri" w:cs="Calibri" w:eastAsia="Calibri" w:hAnsi="Calibri"/>
          <w:u w:val="none"/>
        </w:rPr>
      </w:pPr>
      <w:r w:rsidDel="00000000" w:rsidR="00000000" w:rsidRPr="00000000">
        <w:rPr>
          <w:rFonts w:ascii="Calibri" w:cs="Calibri" w:eastAsia="Calibri" w:hAnsi="Calibri"/>
          <w:rtl w:val="0"/>
        </w:rPr>
        <w:t xml:space="preserve">do 60 kalendářních dnů ode dne nabytí účinnosti smlouvy a</w:t>
      </w:r>
      <w:r w:rsidDel="00000000" w:rsidR="00000000" w:rsidRPr="00000000">
        <w:rPr>
          <w:rtl w:val="0"/>
        </w:rPr>
      </w:r>
    </w:p>
    <w:p w:rsidR="00000000" w:rsidDel="00000000" w:rsidP="00000000" w:rsidRDefault="00000000" w:rsidRPr="00000000" w14:paraId="00000045">
      <w:pPr>
        <w:numPr>
          <w:ilvl w:val="0"/>
          <w:numId w:val="6"/>
        </w:numPr>
        <w:spacing w:before="0" w:lineRule="auto"/>
        <w:ind w:left="850.3937007874017" w:right="-182" w:hanging="283.4645669291342"/>
        <w:rPr>
          <w:rFonts w:ascii="Calibri" w:cs="Calibri" w:eastAsia="Calibri" w:hAnsi="Calibri"/>
          <w:u w:val="none"/>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r w:rsidDel="00000000" w:rsidR="00000000" w:rsidRPr="00000000">
        <w:rPr>
          <w:rtl w:val="0"/>
        </w:rPr>
      </w:r>
    </w:p>
    <w:p w:rsidR="00000000" w:rsidDel="00000000" w:rsidP="00000000" w:rsidRDefault="00000000" w:rsidRPr="00000000" w14:paraId="00000046">
      <w:pPr>
        <w:numPr>
          <w:ilvl w:val="0"/>
          <w:numId w:val="1"/>
        </w:numPr>
        <w:ind w:left="425" w:right="-180" w:hanging="425"/>
        <w:rPr/>
      </w:pPr>
      <w:r w:rsidDel="00000000" w:rsidR="00000000" w:rsidRPr="00000000">
        <w:rPr>
          <w:rFonts w:ascii="Calibri" w:cs="Calibri" w:eastAsia="Calibri" w:hAnsi="Calibri"/>
          <w:rtl w:val="0"/>
        </w:rPr>
        <w:t xml:space="preserve">Nad rámec Všeobecných podmínek je příjemce povinen dodržovat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120" w:before="0" w:lineRule="auto"/>
        <w:ind w:left="425" w:right="-182" w:hanging="425"/>
        <w:rPr>
          <w:rFonts w:ascii="Calibri" w:cs="Calibri" w:eastAsia="Calibri" w:hAnsi="Calibri"/>
          <w:u w:val="none"/>
        </w:rPr>
      </w:pPr>
      <w:r w:rsidDel="00000000" w:rsidR="00000000" w:rsidRPr="00000000">
        <w:rPr>
          <w:rFonts w:ascii="Calibri" w:cs="Calibri" w:eastAsia="Calibri" w:hAnsi="Calibri"/>
          <w:rtl w:val="0"/>
        </w:rPr>
        <w:t xml:space="preserve">Čl. 4 odst. 2 písm. c) Všeobecných podmínek se mění takto:</w:t>
      </w:r>
      <w:r w:rsidDel="00000000" w:rsidR="00000000" w:rsidRPr="00000000">
        <w:rPr>
          <w:rtl w:val="0"/>
        </w:rPr>
      </w:r>
    </w:p>
    <w:p w:rsidR="00000000" w:rsidDel="00000000" w:rsidP="00000000" w:rsidRDefault="00000000" w:rsidRPr="00000000" w14:paraId="00000048">
      <w:pPr>
        <w:spacing w:after="240" w:before="240" w:lineRule="auto"/>
        <w:ind w:left="860" w:right="-180" w:firstLine="0"/>
        <w:rPr>
          <w:rFonts w:ascii="Calibri" w:cs="Calibri" w:eastAsia="Calibri" w:hAnsi="Calibri"/>
        </w:rPr>
      </w:pPr>
      <w:r w:rsidDel="00000000" w:rsidR="00000000" w:rsidRPr="00000000">
        <w:rPr>
          <w:rFonts w:ascii="Calibri" w:cs="Calibri" w:eastAsia="Calibri" w:hAnsi="Calibri"/>
          <w:rtl w:val="0"/>
        </w:rPr>
        <w:t xml:space="preserve">“při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00000" w:rsidDel="00000000" w:rsidP="00000000" w:rsidRDefault="00000000" w:rsidRPr="00000000" w14:paraId="00000049">
      <w:pPr>
        <w:numPr>
          <w:ilvl w:val="0"/>
          <w:numId w:val="1"/>
        </w:numPr>
        <w:ind w:left="425" w:right="-180" w:hanging="425"/>
        <w:rPr/>
      </w:pPr>
      <w:r w:rsidDel="00000000" w:rsidR="00000000" w:rsidRPr="00000000">
        <w:rPr>
          <w:rFonts w:ascii="Calibri" w:cs="Calibri" w:eastAsia="Calibri" w:hAnsi="Calibri"/>
          <w:rtl w:val="0"/>
        </w:rPr>
        <w:t xml:space="preserve">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r w:rsidDel="00000000" w:rsidR="00000000" w:rsidRPr="00000000">
        <w:rPr>
          <w:rtl w:val="0"/>
        </w:rPr>
      </w:r>
    </w:p>
    <w:p w:rsidR="00000000" w:rsidDel="00000000" w:rsidP="00000000" w:rsidRDefault="00000000" w:rsidRPr="00000000" w14:paraId="0000004A">
      <w:pPr>
        <w:numPr>
          <w:ilvl w:val="0"/>
          <w:numId w:val="1"/>
        </w:numPr>
        <w:ind w:left="425" w:right="-180" w:hanging="425"/>
        <w:rPr/>
      </w:pPr>
      <w:r w:rsidDel="00000000" w:rsidR="00000000" w:rsidRPr="00000000">
        <w:rPr>
          <w:rFonts w:ascii="Calibri" w:cs="Calibri" w:eastAsia="Calibri" w:hAnsi="Calibri"/>
          <w:rtl w:val="0"/>
        </w:rPr>
        <w:t xml:space="preserve">Čl. 17 odst. 8 Všeobecných podmínek se nahrazuje tímto:</w:t>
      </w:r>
      <w:r w:rsidDel="00000000" w:rsidR="00000000" w:rsidRPr="00000000">
        <w:rPr>
          <w:rtl w:val="0"/>
        </w:rPr>
      </w:r>
    </w:p>
    <w:p w:rsidR="00000000" w:rsidDel="00000000" w:rsidP="00000000" w:rsidRDefault="00000000" w:rsidRPr="00000000" w14:paraId="0000004B">
      <w:pPr>
        <w:ind w:left="860" w:right="-180" w:firstLine="0"/>
        <w:rPr>
          <w:rFonts w:ascii="Calibri" w:cs="Calibri" w:eastAsia="Calibri" w:hAnsi="Calibri"/>
        </w:rPr>
      </w:pPr>
      <w:r w:rsidDel="00000000" w:rsidR="00000000" w:rsidRPr="00000000">
        <w:rPr>
          <w:rFonts w:ascii="Calibri" w:cs="Calibri" w:eastAsia="Calibri" w:hAnsi="Calibri"/>
          <w:rtl w:val="0"/>
        </w:rPr>
        <w:t xml:space="preserve">“Daň z přidané hodnoty dle zákona č. 235/2004 Sb., o dani z přidané hodnoty není v této veřejné soutěži uznaný náklad, ani pro neplátce DPH.”</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0" w:lineRule="auto"/>
        <w:ind w:left="0" w:right="-182"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0" w:right="-182"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5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52">
      <w:pPr>
        <w:numPr>
          <w:ilvl w:val="0"/>
          <w:numId w:val="7"/>
        </w:numPr>
        <w:tabs>
          <w:tab w:val="left" w:leader="none" w:pos="567"/>
          <w:tab w:val="left" w:leader="none" w:pos="709"/>
        </w:tabs>
        <w:ind w:left="360" w:hanging="360"/>
        <w:rPr>
          <w:rFonts w:ascii="Calibri" w:cs="Calibri" w:eastAsia="Calibri" w:hAnsi="Calibri"/>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p>
    <w:p w:rsidR="00000000" w:rsidDel="00000000" w:rsidP="00000000" w:rsidRDefault="00000000" w:rsidRPr="00000000" w14:paraId="00000053">
      <w:pPr>
        <w:numPr>
          <w:ilvl w:val="0"/>
          <w:numId w:val="7"/>
        </w:numPr>
        <w:tabs>
          <w:tab w:val="left" w:leader="none" w:pos="567"/>
          <w:tab w:val="left" w:leader="none" w:pos="709"/>
        </w:tabs>
        <w:ind w:left="360" w:hanging="360"/>
        <w:rPr>
          <w:rFonts w:ascii="Calibri" w:cs="Calibri" w:eastAsia="Calibri" w:hAnsi="Calibri"/>
        </w:rPr>
      </w:pPr>
      <w:r w:rsidDel="00000000" w:rsidR="00000000" w:rsidRPr="00000000">
        <w:rPr>
          <w:rFonts w:ascii="Calibri" w:cs="Calibri" w:eastAsia="Calibri" w:hAnsi="Calibri"/>
          <w:rtl w:val="0"/>
        </w:rPr>
        <w:t xml:space="preserve">Rozhodnutí se vydává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6"/>
          <w:numId w:val="3"/>
        </w:numPr>
        <w:spacing w:before="0" w:line="240" w:lineRule="auto"/>
        <w:ind w:left="5040" w:firstLine="147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tbl>
      <w:tblPr>
        <w:tblStyle w:val="Table1"/>
        <w:tblW w:w="9639.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5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w:t>
            </w:r>
          </w:p>
        </w:tc>
        <w:tc>
          <w:tcPr>
            <w:tcBorders>
              <w:bottom w:color="000000" w:space="0" w:sz="4" w:val="single"/>
            </w:tcBorders>
          </w:tcPr>
          <w:p w:rsidR="00000000" w:rsidDel="00000000" w:rsidP="00000000" w:rsidRDefault="00000000" w:rsidRPr="00000000" w14:paraId="00000058">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9">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bl>
    <w:bookmarkStart w:colFirst="0" w:colLast="0" w:name="bookmark=id.30j0zll" w:id="5"/>
    <w:bookmarkEnd w:id="5"/>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heading=h.1fob9te" w:id="6"/>
    <w:bookmarkEnd w:id="6"/>
    <w:r w:rsidDel="00000000" w:rsidR="00000000" w:rsidRPr="00000000">
      <w:rPr>
        <w:rFonts w:ascii="Calibri" w:cs="Calibri" w:eastAsia="Calibri" w:hAnsi="Calibri"/>
        <w:sz w:val="16"/>
        <w:szCs w:val="16"/>
        <w:rtl w:val="0"/>
      </w:rPr>
      <w:t xml:space="preserve">F-353, verze 3</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leader="none" w:pos="4536"/>
        <w:tab w:val="right" w:leader="none" w:pos="9072"/>
      </w:tabs>
      <w:spacing w:before="1134"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-892168</wp:posOffset>
          </wp:positionH>
          <wp:positionV relativeFrom="paragraph">
            <wp:posOffset>-441955</wp:posOffset>
          </wp:positionV>
          <wp:extent cx="1439545" cy="1439545"/>
          <wp:effectExtent b="0" l="0" r="0" t="0"/>
          <wp:wrapNone/>
          <wp:docPr id="5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5F">
    <w:pPr>
      <w:tabs>
        <w:tab w:val="center" w:leader="none" w:pos="4536"/>
        <w:tab w:val="right" w:leader="none" w:pos="9072"/>
      </w:tabs>
      <w:spacing w:before="0" w:line="240" w:lineRule="auto"/>
      <w:jc w:val="right"/>
      <w:rPr>
        <w:rFonts w:ascii="Calibri" w:cs="Calibri" w:eastAsia="Calibri" w:hAnsi="Calibri"/>
        <w:b w:val="1"/>
        <w:sz w:val="16"/>
        <w:szCs w:val="16"/>
        <w:highlight w:val="yellow"/>
      </w:rPr>
    </w:pPr>
    <w:r w:rsidDel="00000000" w:rsidR="00000000" w:rsidRPr="00000000">
      <w:rPr>
        <w:rFonts w:ascii="Calibri" w:cs="Calibri" w:eastAsia="Calibri" w:hAnsi="Calibri"/>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p>
  <w:p w:rsidR="00000000" w:rsidDel="00000000" w:rsidP="00000000" w:rsidRDefault="00000000" w:rsidRPr="00000000" w14:paraId="00000060">
    <w:pPr>
      <w:tabs>
        <w:tab w:val="center" w:leader="none" w:pos="4536"/>
        <w:tab w:val="right" w:leader="none" w:pos="9072"/>
      </w:tabs>
      <w:spacing w:before="0" w:line="240" w:lineRule="auto"/>
      <w:jc w:val="right"/>
      <w:rPr>
        <w:rFonts w:ascii="Calibri" w:cs="Calibri" w:eastAsia="Calibri" w:hAnsi="Calibri"/>
        <w:b w:val="1"/>
        <w:sz w:val="16"/>
        <w:szCs w:val="16"/>
        <w:highlight w:val="yellow"/>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E12F54"/>
    <w:rPr>
      <w:color w:val="000000"/>
    </w:rPr>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Zkladntext">
    <w:name w:val="Body Text"/>
    <w:basedOn w:val="Normln"/>
    <w:link w:val="ZkladntextChar"/>
    <w:uiPriority w:val="99"/>
    <w:semiHidden w:val="1"/>
    <w:unhideWhenUsed w:val="1"/>
    <w:rsid w:val="00E12F54"/>
    <w:pPr>
      <w:autoSpaceDE w:val="0"/>
      <w:autoSpaceDN w:val="0"/>
      <w:adjustRightInd w:val="0"/>
      <w:spacing w:after="120"/>
    </w:pPr>
    <w:rPr>
      <w:rFonts w:eastAsiaTheme="minorHAnsi"/>
      <w:lang w:eastAsia="en-US"/>
    </w:rPr>
  </w:style>
  <w:style w:type="character" w:styleId="ZkladntextChar" w:customStyle="1">
    <w:name w:val="Základní text Char"/>
    <w:basedOn w:val="Standardnpsmoodstavce"/>
    <w:link w:val="Zkladntext"/>
    <w:uiPriority w:val="99"/>
    <w:semiHidden w:val="1"/>
    <w:rsid w:val="00E12F54"/>
    <w:rPr>
      <w:rFonts w:ascii="Cambria" w:cs="Cambria" w:hAnsi="Cambria"/>
      <w:color w:val="000000"/>
    </w:rPr>
  </w:style>
  <w:style w:type="paragraph" w:styleId="Zhlav">
    <w:name w:val="header"/>
    <w:basedOn w:val="Normln"/>
    <w:link w:val="ZhlavChar"/>
    <w:uiPriority w:val="99"/>
    <w:unhideWhenUsed w:val="1"/>
    <w:rsid w:val="0093307C"/>
    <w:pPr>
      <w:tabs>
        <w:tab w:val="center" w:pos="4536"/>
        <w:tab w:val="right" w:pos="9072"/>
      </w:tabs>
      <w:spacing w:before="0" w:line="240" w:lineRule="auto"/>
    </w:pPr>
  </w:style>
  <w:style w:type="character" w:styleId="ZhlavChar" w:customStyle="1">
    <w:name w:val="Záhlaví Char"/>
    <w:basedOn w:val="Standardnpsmoodstavce"/>
    <w:link w:val="Zhlav"/>
    <w:uiPriority w:val="99"/>
    <w:rsid w:val="0093307C"/>
    <w:rPr>
      <w:rFonts w:ascii="Cambria" w:cs="Cambria" w:eastAsia="Cambria" w:hAnsi="Cambria"/>
      <w:color w:val="000000"/>
      <w:lang w:eastAsia="cs-CZ"/>
    </w:rPr>
  </w:style>
  <w:style w:type="paragraph" w:styleId="Zpat">
    <w:name w:val="footer"/>
    <w:basedOn w:val="Normln"/>
    <w:link w:val="ZpatChar"/>
    <w:uiPriority w:val="99"/>
    <w:unhideWhenUsed w:val="1"/>
    <w:rsid w:val="0093307C"/>
    <w:pPr>
      <w:tabs>
        <w:tab w:val="center" w:pos="4536"/>
        <w:tab w:val="right" w:pos="9072"/>
      </w:tabs>
      <w:spacing w:before="0" w:line="240" w:lineRule="auto"/>
    </w:pPr>
  </w:style>
  <w:style w:type="character" w:styleId="ZpatChar" w:customStyle="1">
    <w:name w:val="Zápatí Char"/>
    <w:basedOn w:val="Standardnpsmoodstavce"/>
    <w:link w:val="Zpat"/>
    <w:uiPriority w:val="99"/>
    <w:rsid w:val="0093307C"/>
    <w:rPr>
      <w:rFonts w:ascii="Cambria" w:cs="Cambria" w:eastAsia="Cambria" w:hAnsi="Cambria"/>
      <w:color w:val="000000"/>
      <w:lang w:eastAsia="cs-CZ"/>
    </w:rPr>
  </w:style>
  <w:style w:type="paragraph" w:styleId="Zpat1" w:customStyle="1">
    <w:name w:val="Zápatí1"/>
    <w:basedOn w:val="Zpat"/>
    <w:qFormat w:val="1"/>
    <w:rsid w:val="0093307C"/>
    <w:pPr>
      <w:autoSpaceDE w:val="0"/>
      <w:autoSpaceDN w:val="0"/>
      <w:adjustRightInd w:val="0"/>
      <w:jc w:val="right"/>
      <w:textAlignment w:val="center"/>
    </w:pPr>
    <w:rPr>
      <w:rFonts w:eastAsiaTheme="minorHAnsi"/>
      <w:noProof w:val="1"/>
      <w:sz w:val="16"/>
    </w:rPr>
  </w:style>
  <w:style w:type="paragraph" w:styleId="Odstavecseseznamem">
    <w:name w:val="List Paragraph"/>
    <w:basedOn w:val="Normln"/>
    <w:uiPriority w:val="34"/>
    <w:qFormat w:val="1"/>
    <w:rsid w:val="003518C6"/>
    <w:pPr>
      <w:ind w:left="720"/>
      <w:contextualSpacing w:val="1"/>
    </w:p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cpz5kyx5ZAx3rRI17x/Gc/jXZw==">AMUW2mUuJ7JVNJ4vf1FvE3jbHFPPIX9wqYzzkZ7nvqq42LKozamSIXWTOnOtdK1Wc6hU6AfRx8zgO5SE9dJDTviat57d8Lucxsm2snB5DG6nX7ZxkDElaL0YsngxvJeOpZ4TDdGbJuCkEA1C267O9LOVGHfdfWvH71BQwGXE8s3S/PbNL7AICgUbOULeXv+9IY+UJSDHISrCQRt0qjKRQFmDPvu2rcIJEjKsu2p6gb1H64rU5bDbDO5GOK1e6mWjytCwL3+K7ZiS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2019-12-15T15:20:00Z</dcterms:created>
  <dc:creator>Michaela Kaňová</dc:creator>
</cp:coreProperties>
</file>